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652"/>
        <w:gridCol w:w="796"/>
        <w:gridCol w:w="905"/>
        <w:gridCol w:w="3969"/>
      </w:tblGrid>
      <w:tr>
        <w:trPr>
          <w:trHeight w:val="1266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рткер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й районса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</w:t>
            </w:r>
          </w:p>
        </w:tc>
        <w:tc>
          <w:tcPr>
            <w:tcW w:w="170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 муниципального района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685" w:hRule="auto"/>
          <w:jc w:val="left"/>
          <w:cantSplit w:val="1"/>
        </w:trPr>
        <w:tc>
          <w:tcPr>
            <w:tcW w:w="93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ШУ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М</w:t>
            </w:r>
          </w:p>
        </w:tc>
      </w:tr>
      <w:tr>
        <w:trPr>
          <w:trHeight w:val="685" w:hRule="auto"/>
          <w:jc w:val="left"/>
        </w:trPr>
        <w:tc>
          <w:tcPr>
            <w:tcW w:w="93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ПОСТАНОВЛЕНИЕ </w:t>
            </w:r>
          </w:p>
        </w:tc>
      </w:tr>
      <w:tr>
        <w:trPr>
          <w:trHeight w:val="406" w:hRule="auto"/>
          <w:jc w:val="left"/>
        </w:trPr>
        <w:tc>
          <w:tcPr>
            <w:tcW w:w="444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 25 апреля 2018 года</w:t>
            </w:r>
          </w:p>
        </w:tc>
        <w:tc>
          <w:tcPr>
            <w:tcW w:w="487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№ 394    </w:t>
            </w:r>
          </w:p>
        </w:tc>
      </w:tr>
      <w:tr>
        <w:trPr>
          <w:trHeight w:val="419" w:hRule="auto"/>
          <w:jc w:val="left"/>
        </w:trPr>
        <w:tc>
          <w:tcPr>
            <w:tcW w:w="932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Республика Коми, Корткеросский район, с.Корткерос)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 усилении мероприятий по профилактике природноочаговых заболеваний, передаваемых мышевидными грызунами на территории Корткеросского района в 2018году</w:t>
      </w:r>
    </w:p>
    <w:p>
      <w:pPr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санитарно-эпидемиологического благополучия населения Корткеросского района и активизации мер по борьбе с грызунами и профилактике природно-очаговых заболеваний в муниципальном районе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соответствии с  санитарными правилами СП 3.5.3.3223-14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Санитарно-эпидемиологические требования к организации и проведению дератизационных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 3.1.7.2614-10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геморрагической лихорадки с почечным синдромом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Комплексный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план мероприятий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профилактике природно-очаговых заболеваний, передаваемых мышевидными грызунами на территории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 к настоящему постановлению.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руководителям объектов независимо от форм собственности, организаций,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индивидуальным предпринимателям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гражданам, осуществляющим хозяйственную деятельность, обеспечить выполнение комплексного плана мероприятий по профилактике природноочаговых заболеваний  на территории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требований санитарного законодательства (Санитарно-эпидемиологические правила СП 3.1.7.2614-10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геморрагической лихорадки с почечным синдромом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утвержденные постановлением Главного государственного санитарного врача ), в части проведения комплекса профилактических и истребительных мероприятий по борьбе с источниками и переносчиками инфекции в зоне действующих природных очагов.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Управления финансов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Даньщиковой Н.И.): обеспечить своевременное финансирование сельских поселений для организации дератизационных мероприятий.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Руководителю пресс-службы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Вавилиной Т.А.): опубликовать настоящее постановление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Звезда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разместить на официальном сайте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сети Интернет.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 истечении 10 дней со дня его официального опубликования.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Руководитель администрации                                                 В.Гончаренко</w:t>
      </w:r>
    </w:p>
    <w:p>
      <w:pPr>
        <w:tabs>
          <w:tab w:val="left" w:pos="67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andia.ru/text/category/plani_meropriyatij/" Id="docRId0" Type="http://schemas.openxmlformats.org/officeDocument/2006/relationships/hyperlink"/><Relationship TargetMode="External" Target="http://pandia.ru/text/category/individualmznoe_predprinimatelmzstvo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